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AA" w:rsidRPr="00027EAA" w:rsidRDefault="00027EAA" w:rsidP="00027EAA">
      <w:pPr>
        <w:jc w:val="center"/>
        <w:rPr>
          <w:rFonts w:ascii="Times New Roman" w:hAnsi="Times New Roman" w:cs="Times New Roman"/>
          <w:b/>
          <w:bCs/>
          <w:sz w:val="24"/>
          <w:szCs w:val="24"/>
        </w:rPr>
      </w:pPr>
      <w:bookmarkStart w:id="0" w:name="_GoBack"/>
      <w:bookmarkEnd w:id="0"/>
      <w:r w:rsidRPr="00027EAA">
        <w:rPr>
          <w:rFonts w:ascii="Times New Roman" w:hAnsi="Times New Roman" w:cs="Times New Roman"/>
          <w:b/>
          <w:bCs/>
          <w:sz w:val="24"/>
          <w:szCs w:val="24"/>
        </w:rPr>
        <w:t>Особенности проведения приема лиц, завершивших освоение образовательных программ среднего общего образования на территориях Донецкой Народной Республики, Луганской Народной Республики, Запорожской области, Херсонской области</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 xml:space="preserve">1. </w:t>
      </w:r>
      <w:proofErr w:type="gramStart"/>
      <w:r w:rsidRPr="00027EAA">
        <w:rPr>
          <w:rFonts w:ascii="Times New Roman" w:hAnsi="Times New Roman" w:cs="Times New Roman"/>
          <w:sz w:val="24"/>
          <w:szCs w:val="24"/>
        </w:rPr>
        <w:t>Особенности проведения приема на обучение лиц, завершивших освоение образовательных программ среднего общего образования на территориях Донецкой Народной Республики, Луганской Народной Республики, Запорожской области, Херсонской области регламентируются Федеральным законом от 17.02.2023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w:t>
      </w:r>
      <w:proofErr w:type="gramEnd"/>
      <w:r w:rsidRPr="00027EAA">
        <w:rPr>
          <w:rFonts w:ascii="Times New Roman" w:hAnsi="Times New Roman" w:cs="Times New Roman"/>
          <w:sz w:val="24"/>
          <w:szCs w:val="24"/>
        </w:rPr>
        <w:t xml:space="preserve"> </w:t>
      </w:r>
      <w:proofErr w:type="gramStart"/>
      <w:r w:rsidRPr="00027EAA">
        <w:rPr>
          <w:rFonts w:ascii="Times New Roman" w:hAnsi="Times New Roman" w:cs="Times New Roman"/>
          <w:sz w:val="24"/>
          <w:szCs w:val="24"/>
        </w:rPr>
        <w:t xml:space="preserve">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(далее – Федеральный закон № 19-ФЗ), приказа Министерства науки и высшего образования Российской Федерации от 1 марта 2023 г. № 231 «Об утверждении особенностей приема на обучение в организации, осуществляющие образовательную деятельность, по программам </w:t>
      </w:r>
      <w:proofErr w:type="spellStart"/>
      <w:r w:rsidRPr="00027EAA">
        <w:rPr>
          <w:rFonts w:ascii="Times New Roman" w:hAnsi="Times New Roman" w:cs="Times New Roman"/>
          <w:sz w:val="24"/>
          <w:szCs w:val="24"/>
        </w:rPr>
        <w:t>бакалавриата</w:t>
      </w:r>
      <w:proofErr w:type="spellEnd"/>
      <w:r w:rsidRPr="00027EAA">
        <w:rPr>
          <w:rFonts w:ascii="Times New Roman" w:hAnsi="Times New Roman" w:cs="Times New Roman"/>
          <w:sz w:val="24"/>
          <w:szCs w:val="24"/>
        </w:rPr>
        <w:t xml:space="preserve">, программам </w:t>
      </w:r>
      <w:proofErr w:type="spellStart"/>
      <w:r w:rsidRPr="00027EAA">
        <w:rPr>
          <w:rFonts w:ascii="Times New Roman" w:hAnsi="Times New Roman" w:cs="Times New Roman"/>
          <w:sz w:val="24"/>
          <w:szCs w:val="24"/>
        </w:rPr>
        <w:t>специалитета</w:t>
      </w:r>
      <w:proofErr w:type="spellEnd"/>
      <w:proofErr w:type="gramEnd"/>
      <w:r w:rsidRPr="00027EAA">
        <w:rPr>
          <w:rFonts w:ascii="Times New Roman" w:hAnsi="Times New Roman" w:cs="Times New Roman"/>
          <w:sz w:val="24"/>
          <w:szCs w:val="24"/>
        </w:rPr>
        <w:t xml:space="preserve">, программам магистратуры и программам подготовки </w:t>
      </w:r>
      <w:proofErr w:type="spellStart"/>
      <w:proofErr w:type="gramStart"/>
      <w:r w:rsidRPr="00027EAA">
        <w:rPr>
          <w:rFonts w:ascii="Times New Roman" w:hAnsi="Times New Roman" w:cs="Times New Roman"/>
          <w:sz w:val="24"/>
          <w:szCs w:val="24"/>
        </w:rPr>
        <w:t>научных-педагогических</w:t>
      </w:r>
      <w:proofErr w:type="spellEnd"/>
      <w:proofErr w:type="gramEnd"/>
      <w:r w:rsidRPr="00027EAA">
        <w:rPr>
          <w:rFonts w:ascii="Times New Roman" w:hAnsi="Times New Roman" w:cs="Times New Roman"/>
          <w:sz w:val="24"/>
          <w:szCs w:val="24"/>
        </w:rPr>
        <w:t xml:space="preserve"> кадров в аспирантуре (адъюнктуре), предусмотренных частями 7 и 8 статьи 5 Федерального закона № 19-ФЗ».</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2.             </w:t>
      </w:r>
      <w:proofErr w:type="gramStart"/>
      <w:r w:rsidRPr="00027EAA">
        <w:rPr>
          <w:rFonts w:ascii="Times New Roman" w:hAnsi="Times New Roman" w:cs="Times New Roman"/>
          <w:sz w:val="24"/>
          <w:szCs w:val="24"/>
        </w:rPr>
        <w:t>Настоящая глава устанавливает отдельные положения в отношении приема на обучение на места в рамках контрольных цифр приема и на места по договорам об оказании платных образовательных услуг лиц, завершивших освоение образовательных программ среднего общего образования и успешно прошедших государственную итоговую аттестацию на территории Донецкой Народной Республики, Луганской Народной Республики, Запорожской области, Херсонской области до дня принятия их в Российскую Федерацию</w:t>
      </w:r>
      <w:proofErr w:type="gramEnd"/>
      <w:r w:rsidRPr="00027EAA">
        <w:rPr>
          <w:rFonts w:ascii="Times New Roman" w:hAnsi="Times New Roman" w:cs="Times New Roman"/>
          <w:sz w:val="24"/>
          <w:szCs w:val="24"/>
        </w:rPr>
        <w:t xml:space="preserve">, а также лиц, прошедших государственную итоговую аттестацию </w:t>
      </w:r>
      <w:proofErr w:type="gramStart"/>
      <w:r w:rsidRPr="00027EAA">
        <w:rPr>
          <w:rFonts w:ascii="Times New Roman" w:hAnsi="Times New Roman" w:cs="Times New Roman"/>
          <w:sz w:val="24"/>
          <w:szCs w:val="24"/>
        </w:rPr>
        <w:t>по</w:t>
      </w:r>
      <w:proofErr w:type="gramEnd"/>
      <w:r w:rsidRPr="00027EAA">
        <w:rPr>
          <w:rFonts w:ascii="Times New Roman" w:hAnsi="Times New Roman" w:cs="Times New Roman"/>
          <w:sz w:val="24"/>
          <w:szCs w:val="24"/>
        </w:rPr>
        <w:t xml:space="preserve"> </w:t>
      </w:r>
      <w:proofErr w:type="gramStart"/>
      <w:r w:rsidRPr="00027EAA">
        <w:rPr>
          <w:rFonts w:ascii="Times New Roman" w:hAnsi="Times New Roman" w:cs="Times New Roman"/>
          <w:sz w:val="24"/>
          <w:szCs w:val="24"/>
        </w:rPr>
        <w:t>образовательным программам среднего общего образования, предусмотренными частью 1 статьи 5 Федерального закона № 19-ФЗ (далее – лица, принимаемые в соответствии с настоящими Особенностями).</w:t>
      </w:r>
      <w:proofErr w:type="gramEnd"/>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3.             Лица, принимаемые в соответствии с настоящими Особенностями, вправе представить документ об образовании или об образовании и о квалификации, полученный в Донецкой Народной Республике, Луганской Народной Республике, Украине до принятия Донецкой Народной Республики, Луганской Народной Республики, Запорожской области, Херсонской области в Российскую Федерацию, без представления свидетельства о признании иностранного образования. Указанное образование признается согласно соответствию образовательных, образовательно-квалификационных уровней, установленному статьей 2 Федерального</w:t>
      </w:r>
      <w:r w:rsidRPr="00027EAA">
        <w:rPr>
          <w:rFonts w:ascii="Times New Roman" w:hAnsi="Times New Roman" w:cs="Times New Roman"/>
          <w:sz w:val="24"/>
          <w:szCs w:val="24"/>
        </w:rPr>
        <w:br/>
        <w:t>закона № 19-ФЗ.</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4.             </w:t>
      </w:r>
      <w:proofErr w:type="gramStart"/>
      <w:r w:rsidRPr="00027EAA">
        <w:rPr>
          <w:rFonts w:ascii="Times New Roman" w:hAnsi="Times New Roman" w:cs="Times New Roman"/>
          <w:sz w:val="24"/>
          <w:szCs w:val="24"/>
        </w:rPr>
        <w:t>В случае если лица, принимаемые в соответствии с настоящими Особенностями, не могут предоставить оригинал документа об образовании или документа об образовании и о квалификации (документ установленного образца), они зачисляются на места в рамках контрольных цифр приема на основании заявления о согласии на зачисление, в котором указана причина невозможности представления оригинала документа установленного образца.</w:t>
      </w:r>
      <w:proofErr w:type="gramEnd"/>
      <w:r w:rsidRPr="00027EAA">
        <w:rPr>
          <w:rFonts w:ascii="Times New Roman" w:hAnsi="Times New Roman" w:cs="Times New Roman"/>
          <w:sz w:val="24"/>
          <w:szCs w:val="24"/>
        </w:rPr>
        <w:t xml:space="preserve"> Указанное заявление подается не позднее установленных даты и времени дня завершения приема оригинала документа установленного образца, и используется вместо </w:t>
      </w:r>
      <w:r w:rsidRPr="00027EAA">
        <w:rPr>
          <w:rFonts w:ascii="Times New Roman" w:hAnsi="Times New Roman" w:cs="Times New Roman"/>
          <w:sz w:val="24"/>
          <w:szCs w:val="24"/>
        </w:rPr>
        <w:lastRenderedPageBreak/>
        <w:t>оригинала документа установленного образца в отношении всех условий поступления, указанных в заявлении о приеме на обучение. Наличие или отсутствие заявления о согласии на зачисление указывается в ранжированных списках лиц, поступающих на обучение (конкурсные списки).</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 xml:space="preserve">5.             Лицо, подавшее согласие на зачисление, вправе подать заявление об отзыве согласия на зачисление. </w:t>
      </w:r>
      <w:proofErr w:type="gramStart"/>
      <w:r w:rsidRPr="00027EAA">
        <w:rPr>
          <w:rFonts w:ascii="Times New Roman" w:hAnsi="Times New Roman" w:cs="Times New Roman"/>
          <w:sz w:val="24"/>
          <w:szCs w:val="24"/>
        </w:rPr>
        <w:t>В случае если указанное лицо желает подать заявление о согласии на зачисление на места в рамках контрольных цифр приема в другую организацию, ему необходимо до подачи указанного заявления подать заявление об отзыве согласия на зачисление на места в рамках контрольных цифр в организацию, в которую подано заявление о согласии на зачисление.</w:t>
      </w:r>
      <w:proofErr w:type="gramEnd"/>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 xml:space="preserve">6.             Лицо, включенное в число </w:t>
      </w:r>
      <w:proofErr w:type="gramStart"/>
      <w:r w:rsidRPr="00027EAA">
        <w:rPr>
          <w:rFonts w:ascii="Times New Roman" w:hAnsi="Times New Roman" w:cs="Times New Roman"/>
          <w:sz w:val="24"/>
          <w:szCs w:val="24"/>
        </w:rPr>
        <w:t>зачисленных</w:t>
      </w:r>
      <w:proofErr w:type="gramEnd"/>
      <w:r w:rsidRPr="00027EAA">
        <w:rPr>
          <w:rFonts w:ascii="Times New Roman" w:hAnsi="Times New Roman" w:cs="Times New Roman"/>
          <w:sz w:val="24"/>
          <w:szCs w:val="24"/>
        </w:rPr>
        <w:t xml:space="preserve"> на обучение и отозвавших согласие на зачисление, исключается из числа зачисленных на обучение. Лицо, отозвавшее согласие на зачисление, не исключается из списков лиц, подавших документы, и из конкурсных списков.</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7.             При приеме на обучение лиц, принимаемых в соответствии с Особенностями:</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1)        НИУ МГСУ самостоятельно проводит вступительные испытания по общеобразовательным предметам, по которым проводится ЕГЭ, для лиц, поступающих на обучение на базе среднего общего образования;</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2)        общеобразовательные вступительные испытания по русскому языку, истории, обществознанию, вступительное испытание по русскому языку на базе профессионального образования проводятся НИУ МГСУ по желанию лиц, поступающих на обучение, в форме собеседования;</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3)        иные вступительные испытания проводятся в формах, определенных настоящими Правилами приема и Программами вступительных испытаний;</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4)        результаты вступительных испытаний, проводимых НИУ МГСУ, оцениваются по 100-балльной шкале вне зависимости от форм их проведения;</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5)        лица, поступающие на обучение на базе среднего общего образования, вправе сдать общеобразовательные вступительные испытания, проводимые НИУ МГСУ самостоятельно, и (или) использовать результаты ЕГЭ в качестве результатов указанных вступительных испытаний;</w:t>
      </w:r>
    </w:p>
    <w:p w:rsidR="00027EAA" w:rsidRPr="00027EAA" w:rsidRDefault="00027EAA" w:rsidP="00027EAA">
      <w:pPr>
        <w:rPr>
          <w:rFonts w:ascii="Times New Roman" w:hAnsi="Times New Roman" w:cs="Times New Roman"/>
          <w:sz w:val="24"/>
          <w:szCs w:val="24"/>
        </w:rPr>
      </w:pPr>
      <w:proofErr w:type="gramStart"/>
      <w:r w:rsidRPr="00027EAA">
        <w:rPr>
          <w:rFonts w:ascii="Times New Roman" w:hAnsi="Times New Roman" w:cs="Times New Roman"/>
          <w:sz w:val="24"/>
          <w:szCs w:val="24"/>
        </w:rPr>
        <w:t>6)        лица, поступающие на обучение на базе профессионального образования, вправе сдавать вступительные испытания на базе профессионального образования и (или) общеобразовательные вступительные испытания, проводимые НИУ МГСУ самостоятельно, и (или) использовать результаты ЕГЭ в качестве результатов общеобразовательных вступительных испытаний;</w:t>
      </w:r>
      <w:proofErr w:type="gramEnd"/>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7)        НИУ МГСУ устанавливает минимальное количество баллов в соответствии с пунктом 19 настоящих Правил приема.</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 xml:space="preserve">8)        засчитываются результаты индивидуальных достижений, полученных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 с настоящими Правилами приема (в том числе за документ об образовании или </w:t>
      </w:r>
      <w:proofErr w:type="gramStart"/>
      <w:r w:rsidRPr="00027EAA">
        <w:rPr>
          <w:rFonts w:ascii="Times New Roman" w:hAnsi="Times New Roman" w:cs="Times New Roman"/>
          <w:sz w:val="24"/>
          <w:szCs w:val="24"/>
        </w:rPr>
        <w:t>документ</w:t>
      </w:r>
      <w:proofErr w:type="gramEnd"/>
      <w:r w:rsidRPr="00027EAA">
        <w:rPr>
          <w:rFonts w:ascii="Times New Roman" w:hAnsi="Times New Roman" w:cs="Times New Roman"/>
          <w:sz w:val="24"/>
          <w:szCs w:val="24"/>
        </w:rPr>
        <w:t xml:space="preserve"> об образовании </w:t>
      </w:r>
      <w:r w:rsidRPr="00027EAA">
        <w:rPr>
          <w:rFonts w:ascii="Times New Roman" w:hAnsi="Times New Roman" w:cs="Times New Roman"/>
          <w:sz w:val="24"/>
          <w:szCs w:val="24"/>
        </w:rPr>
        <w:lastRenderedPageBreak/>
        <w:t xml:space="preserve">и о квалификации с отличием, полученных в Донецкой Народной Республике, Луганской Народной </w:t>
      </w:r>
      <w:proofErr w:type="gramStart"/>
      <w:r w:rsidRPr="00027EAA">
        <w:rPr>
          <w:rFonts w:ascii="Times New Roman" w:hAnsi="Times New Roman" w:cs="Times New Roman"/>
          <w:sz w:val="24"/>
          <w:szCs w:val="24"/>
        </w:rPr>
        <w:t>Республике, Украине);</w:t>
      </w:r>
      <w:proofErr w:type="gramEnd"/>
    </w:p>
    <w:p w:rsidR="00027EAA" w:rsidRPr="00027EAA" w:rsidRDefault="00027EAA" w:rsidP="00027EAA">
      <w:pPr>
        <w:rPr>
          <w:rFonts w:ascii="Times New Roman" w:hAnsi="Times New Roman" w:cs="Times New Roman"/>
          <w:sz w:val="24"/>
          <w:szCs w:val="24"/>
        </w:rPr>
      </w:pPr>
      <w:proofErr w:type="gramStart"/>
      <w:r w:rsidRPr="00027EAA">
        <w:rPr>
          <w:rFonts w:ascii="Times New Roman" w:hAnsi="Times New Roman" w:cs="Times New Roman"/>
          <w:sz w:val="24"/>
          <w:szCs w:val="24"/>
        </w:rPr>
        <w:t>9)        для победителей и призеров олимпиад школьников, проводимых в порядке, устанавливаемом Министерством науки и высшего образования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НИУ МГСУ устанавливается количество баллов ЕГЭ или общеобразовательного вступительного испытания, проводимого НИУ МГСУ, которое подтверждает особые права</w:t>
      </w:r>
      <w:proofErr w:type="gramEnd"/>
      <w:r w:rsidRPr="00027EAA">
        <w:rPr>
          <w:rFonts w:ascii="Times New Roman" w:hAnsi="Times New Roman" w:cs="Times New Roman"/>
          <w:sz w:val="24"/>
          <w:szCs w:val="24"/>
        </w:rPr>
        <w:t xml:space="preserve"> для льготных категорий граждан – в размере не менее 65 баллов.</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8.             При приеме на обучение лиц, принимаемых в соответствии с настоящими Особенностями, признанных гражданами Российской Федерации, а также лицам, которые являются постоянно проживающими на территории Донецкой Народной Республики, Луганской Народной Республики, Запорожской области, Херсонской области на день их принятия в Российскую Федерацию гражданами Российской Федерации, являющимся победителями и призерами </w:t>
      </w:r>
      <w:r w:rsidRPr="00027EAA">
        <w:rPr>
          <w:rFonts w:ascii="Times New Roman" w:hAnsi="Times New Roman" w:cs="Times New Roman"/>
          <w:sz w:val="24"/>
          <w:szCs w:val="24"/>
          <w:lang w:val="en-US"/>
        </w:rPr>
        <w:t>IV</w:t>
      </w:r>
      <w:r w:rsidRPr="00027EAA">
        <w:rPr>
          <w:rFonts w:ascii="Times New Roman" w:hAnsi="Times New Roman" w:cs="Times New Roman"/>
          <w:sz w:val="24"/>
          <w:szCs w:val="24"/>
        </w:rPr>
        <w:t> этапа всеукраинских ученических олимпиад республиканской олимпиады школьников (далее – национальные олимпиад</w:t>
      </w:r>
      <w:proofErr w:type="gramStart"/>
      <w:r w:rsidRPr="00027EAA">
        <w:rPr>
          <w:rFonts w:ascii="Times New Roman" w:hAnsi="Times New Roman" w:cs="Times New Roman"/>
          <w:sz w:val="24"/>
          <w:szCs w:val="24"/>
        </w:rPr>
        <w:t>ы-</w:t>
      </w:r>
      <w:proofErr w:type="gramEnd"/>
      <w:r w:rsidRPr="00027EAA">
        <w:rPr>
          <w:rFonts w:ascii="Times New Roman" w:hAnsi="Times New Roman" w:cs="Times New Roman"/>
          <w:sz w:val="24"/>
          <w:szCs w:val="24"/>
        </w:rPr>
        <w:t>, членами сборных команд Украины, сформированных в установленном законодательством Украины порядке и участвовавших в международных олимпиадах по общеобразовательным предметам (далее – международные олимпиады), предоставляется право на прием без вступительных испытаний как победителям и призерам заключительного этапа всероссийской олимпиады школьников, членам сборных команд Российской Федерации, участвовавших в международных олимпиадах по общеобразовательным предметам.</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9.             Победителям и призерам национальных олимпиад, членам сборных команд Украины, указанным в пункте 128 настоящих Правил приема, в течение срока предоставления права на прием без вступительных испытаний предоставляется преимущество посредством приравнивания к лицам, имеющим 100 баллов по общеобразовательному вступительному испытанию.</w:t>
      </w:r>
    </w:p>
    <w:p w:rsidR="00027EAA" w:rsidRPr="00027EAA" w:rsidRDefault="00027EAA" w:rsidP="00027EAA">
      <w:pPr>
        <w:rPr>
          <w:rFonts w:ascii="Times New Roman" w:hAnsi="Times New Roman" w:cs="Times New Roman"/>
          <w:sz w:val="24"/>
          <w:szCs w:val="24"/>
        </w:rPr>
      </w:pPr>
      <w:r w:rsidRPr="00027EAA">
        <w:rPr>
          <w:rFonts w:ascii="Times New Roman" w:hAnsi="Times New Roman" w:cs="Times New Roman"/>
          <w:sz w:val="24"/>
          <w:szCs w:val="24"/>
        </w:rPr>
        <w:t>10.         При приеме победителей и призеров национальных олимпиад, членов сборных команд Украины, НИУ МГСУ локальным нормативным актом устанавливает соответствие образовательных программ (специальностей, направлений подготовки) профилям национальных олимпиад, международных олимпиад для предоставления права на прием без вступительных испытаний.</w:t>
      </w:r>
    </w:p>
    <w:p w:rsidR="002F422C" w:rsidRPr="00027EAA" w:rsidRDefault="002F422C">
      <w:pPr>
        <w:rPr>
          <w:rFonts w:ascii="Times New Roman" w:hAnsi="Times New Roman" w:cs="Times New Roman"/>
          <w:sz w:val="24"/>
          <w:szCs w:val="24"/>
        </w:rPr>
      </w:pPr>
    </w:p>
    <w:sectPr w:rsidR="002F422C" w:rsidRPr="00027EAA" w:rsidSect="005B1B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64BE"/>
    <w:rsid w:val="00027EAA"/>
    <w:rsid w:val="000B414E"/>
    <w:rsid w:val="00162755"/>
    <w:rsid w:val="002F422C"/>
    <w:rsid w:val="003275AC"/>
    <w:rsid w:val="005B1B87"/>
    <w:rsid w:val="00B84F9B"/>
    <w:rsid w:val="00F714DC"/>
    <w:rsid w:val="00F964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B87"/>
  </w:style>
  <w:style w:type="paragraph" w:styleId="1">
    <w:name w:val="heading 1"/>
    <w:basedOn w:val="a"/>
    <w:next w:val="a"/>
    <w:link w:val="10"/>
    <w:uiPriority w:val="9"/>
    <w:qFormat/>
    <w:rsid w:val="00F96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96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964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964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64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64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64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64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64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64B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964B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964B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64B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64B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64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64BE"/>
    <w:rPr>
      <w:rFonts w:eastAsiaTheme="majorEastAsia" w:cstheme="majorBidi"/>
      <w:color w:val="595959" w:themeColor="text1" w:themeTint="A6"/>
    </w:rPr>
  </w:style>
  <w:style w:type="character" w:customStyle="1" w:styleId="80">
    <w:name w:val="Заголовок 8 Знак"/>
    <w:basedOn w:val="a0"/>
    <w:link w:val="8"/>
    <w:uiPriority w:val="9"/>
    <w:semiHidden/>
    <w:rsid w:val="00F964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64BE"/>
    <w:rPr>
      <w:rFonts w:eastAsiaTheme="majorEastAsia" w:cstheme="majorBidi"/>
      <w:color w:val="272727" w:themeColor="text1" w:themeTint="D8"/>
    </w:rPr>
  </w:style>
  <w:style w:type="paragraph" w:styleId="a3">
    <w:name w:val="Title"/>
    <w:basedOn w:val="a"/>
    <w:next w:val="a"/>
    <w:link w:val="a4"/>
    <w:uiPriority w:val="10"/>
    <w:qFormat/>
    <w:rsid w:val="00F96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96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4B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64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64BE"/>
    <w:pPr>
      <w:spacing w:before="160"/>
      <w:jc w:val="center"/>
    </w:pPr>
    <w:rPr>
      <w:i/>
      <w:iCs/>
      <w:color w:val="404040" w:themeColor="text1" w:themeTint="BF"/>
    </w:rPr>
  </w:style>
  <w:style w:type="character" w:customStyle="1" w:styleId="22">
    <w:name w:val="Цитата 2 Знак"/>
    <w:basedOn w:val="a0"/>
    <w:link w:val="21"/>
    <w:uiPriority w:val="29"/>
    <w:rsid w:val="00F964BE"/>
    <w:rPr>
      <w:i/>
      <w:iCs/>
      <w:color w:val="404040" w:themeColor="text1" w:themeTint="BF"/>
    </w:rPr>
  </w:style>
  <w:style w:type="paragraph" w:styleId="a7">
    <w:name w:val="List Paragraph"/>
    <w:basedOn w:val="a"/>
    <w:uiPriority w:val="34"/>
    <w:qFormat/>
    <w:rsid w:val="00F964BE"/>
    <w:pPr>
      <w:ind w:left="720"/>
      <w:contextualSpacing/>
    </w:pPr>
  </w:style>
  <w:style w:type="character" w:styleId="a8">
    <w:name w:val="Intense Emphasis"/>
    <w:basedOn w:val="a0"/>
    <w:uiPriority w:val="21"/>
    <w:qFormat/>
    <w:rsid w:val="00F964BE"/>
    <w:rPr>
      <w:i/>
      <w:iCs/>
      <w:color w:val="0F4761" w:themeColor="accent1" w:themeShade="BF"/>
    </w:rPr>
  </w:style>
  <w:style w:type="paragraph" w:styleId="a9">
    <w:name w:val="Intense Quote"/>
    <w:basedOn w:val="a"/>
    <w:next w:val="a"/>
    <w:link w:val="aa"/>
    <w:uiPriority w:val="30"/>
    <w:qFormat/>
    <w:rsid w:val="00F96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64BE"/>
    <w:rPr>
      <w:i/>
      <w:iCs/>
      <w:color w:val="0F4761" w:themeColor="accent1" w:themeShade="BF"/>
    </w:rPr>
  </w:style>
  <w:style w:type="character" w:styleId="ab">
    <w:name w:val="Intense Reference"/>
    <w:basedOn w:val="a0"/>
    <w:uiPriority w:val="32"/>
    <w:qFormat/>
    <w:rsid w:val="00F964BE"/>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96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96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964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964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64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64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64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64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64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64B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964B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964B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64B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64B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64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64BE"/>
    <w:rPr>
      <w:rFonts w:eastAsiaTheme="majorEastAsia" w:cstheme="majorBidi"/>
      <w:color w:val="595959" w:themeColor="text1" w:themeTint="A6"/>
    </w:rPr>
  </w:style>
  <w:style w:type="character" w:customStyle="1" w:styleId="80">
    <w:name w:val="Заголовок 8 Знак"/>
    <w:basedOn w:val="a0"/>
    <w:link w:val="8"/>
    <w:uiPriority w:val="9"/>
    <w:semiHidden/>
    <w:rsid w:val="00F964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64BE"/>
    <w:rPr>
      <w:rFonts w:eastAsiaTheme="majorEastAsia" w:cstheme="majorBidi"/>
      <w:color w:val="272727" w:themeColor="text1" w:themeTint="D8"/>
    </w:rPr>
  </w:style>
  <w:style w:type="paragraph" w:styleId="a3">
    <w:name w:val="Title"/>
    <w:basedOn w:val="a"/>
    <w:next w:val="a"/>
    <w:link w:val="a4"/>
    <w:uiPriority w:val="10"/>
    <w:qFormat/>
    <w:rsid w:val="00F96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96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4B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64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64BE"/>
    <w:pPr>
      <w:spacing w:before="160"/>
      <w:jc w:val="center"/>
    </w:pPr>
    <w:rPr>
      <w:i/>
      <w:iCs/>
      <w:color w:val="404040" w:themeColor="text1" w:themeTint="BF"/>
    </w:rPr>
  </w:style>
  <w:style w:type="character" w:customStyle="1" w:styleId="22">
    <w:name w:val="Цитата 2 Знак"/>
    <w:basedOn w:val="a0"/>
    <w:link w:val="21"/>
    <w:uiPriority w:val="29"/>
    <w:rsid w:val="00F964BE"/>
    <w:rPr>
      <w:i/>
      <w:iCs/>
      <w:color w:val="404040" w:themeColor="text1" w:themeTint="BF"/>
    </w:rPr>
  </w:style>
  <w:style w:type="paragraph" w:styleId="a7">
    <w:name w:val="List Paragraph"/>
    <w:basedOn w:val="a"/>
    <w:uiPriority w:val="34"/>
    <w:qFormat/>
    <w:rsid w:val="00F964BE"/>
    <w:pPr>
      <w:ind w:left="720"/>
      <w:contextualSpacing/>
    </w:pPr>
  </w:style>
  <w:style w:type="character" w:styleId="a8">
    <w:name w:val="Intense Emphasis"/>
    <w:basedOn w:val="a0"/>
    <w:uiPriority w:val="21"/>
    <w:qFormat/>
    <w:rsid w:val="00F964BE"/>
    <w:rPr>
      <w:i/>
      <w:iCs/>
      <w:color w:val="0F4761" w:themeColor="accent1" w:themeShade="BF"/>
    </w:rPr>
  </w:style>
  <w:style w:type="paragraph" w:styleId="a9">
    <w:name w:val="Intense Quote"/>
    <w:basedOn w:val="a"/>
    <w:next w:val="a"/>
    <w:link w:val="aa"/>
    <w:uiPriority w:val="30"/>
    <w:qFormat/>
    <w:rsid w:val="00F96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64BE"/>
    <w:rPr>
      <w:i/>
      <w:iCs/>
      <w:color w:val="0F4761" w:themeColor="accent1" w:themeShade="BF"/>
    </w:rPr>
  </w:style>
  <w:style w:type="character" w:styleId="ab">
    <w:name w:val="Intense Reference"/>
    <w:basedOn w:val="a0"/>
    <w:uiPriority w:val="32"/>
    <w:qFormat/>
    <w:rsid w:val="00F964BE"/>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1310</Words>
  <Characters>7470</Characters>
  <Application>Microsoft Office Word</Application>
  <DocSecurity>0</DocSecurity>
  <Lines>62</Lines>
  <Paragraphs>17</Paragraphs>
  <ScaleCrop>false</ScaleCrop>
  <Company>Reanimator Extreme Edition</Company>
  <LinksUpToDate>false</LinksUpToDate>
  <CharactersWithSpaces>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Юлия</cp:lastModifiedBy>
  <cp:revision>2</cp:revision>
  <dcterms:created xsi:type="dcterms:W3CDTF">2026-05-22T08:35:00Z</dcterms:created>
  <dcterms:modified xsi:type="dcterms:W3CDTF">2026-05-22T08:35:00Z</dcterms:modified>
</cp:coreProperties>
</file>